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AC5F2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белитового </w:t>
      </w:r>
      <w:r>
        <w:rPr>
          <w:rFonts w:ascii="Times New Roman" w:hAnsi="Times New Roman" w:cs="Times New Roman"/>
          <w:sz w:val="28"/>
          <w:szCs w:val="28"/>
        </w:rPr>
        <w:lastRenderedPageBreak/>
        <w:t>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энергопринимающих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lastRenderedPageBreak/>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w:t>
      </w:r>
      <w:r w:rsidRPr="00D52262">
        <w:rPr>
          <w:rFonts w:ascii="Times New Roman" w:eastAsia="Calibri" w:hAnsi="Times New Roman" w:cs="Times New Roman"/>
          <w:bCs/>
          <w:sz w:val="28"/>
          <w:szCs w:val="28"/>
        </w:rPr>
        <w:lastRenderedPageBreak/>
        <w:t>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w:t>
      </w:r>
      <w:r w:rsidRPr="00D52262">
        <w:rPr>
          <w:rFonts w:ascii="Times New Roman" w:eastAsia="Calibri" w:hAnsi="Times New Roman" w:cs="Times New Roman"/>
          <w:bCs/>
          <w:sz w:val="28"/>
          <w:szCs w:val="28"/>
        </w:rPr>
        <w:lastRenderedPageBreak/>
        <w:t>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w:t>
      </w:r>
      <w:r w:rsidRPr="00D52262">
        <w:rPr>
          <w:rFonts w:ascii="Times New Roman" w:hAnsi="Times New Roman" w:cs="Times New Roman"/>
          <w:sz w:val="28"/>
          <w:szCs w:val="28"/>
        </w:rPr>
        <w:lastRenderedPageBreak/>
        <w:t>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w:t>
      </w:r>
      <w:r w:rsidRPr="00D52262">
        <w:rPr>
          <w:rFonts w:ascii="Times New Roman" w:eastAsia="Calibri" w:hAnsi="Times New Roman" w:cs="Times New Roman"/>
          <w:bCs/>
          <w:sz w:val="28"/>
          <w:szCs w:val="28"/>
        </w:rPr>
        <w:lastRenderedPageBreak/>
        <w:t>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 xml:space="preserve">3) реализуемый или приобретаемый хозяйствующими субъектами товар не может быть заменен другим товаром при потреблении (в том числе при </w:t>
      </w:r>
      <w:r w:rsidRPr="00D52262">
        <w:rPr>
          <w:rFonts w:ascii="Times New Roman" w:hAnsi="Times New Roman" w:cs="Times New Roman"/>
          <w:sz w:val="28"/>
          <w:szCs w:val="28"/>
        </w:rPr>
        <w:lastRenderedPageBreak/>
        <w:t>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w:t>
      </w:r>
      <w:r w:rsidRPr="00D52262">
        <w:rPr>
          <w:rFonts w:ascii="Times New Roman" w:eastAsia="Times New Roman" w:hAnsi="Times New Roman" w:cs="Times New Roman"/>
          <w:sz w:val="28"/>
          <w:szCs w:val="28"/>
          <w:lang w:eastAsia="ru-RU"/>
        </w:rPr>
        <w:lastRenderedPageBreak/>
        <w:t>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w:t>
      </w:r>
      <w:r w:rsidRPr="00D52262">
        <w:rPr>
          <w:rFonts w:ascii="Times New Roman" w:eastAsia="Calibri" w:hAnsi="Times New Roman" w:cs="Times New Roman"/>
          <w:bCs/>
          <w:sz w:val="28"/>
          <w:szCs w:val="28"/>
        </w:rPr>
        <w:lastRenderedPageBreak/>
        <w:t>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w:t>
      </w:r>
      <w:r w:rsidRPr="00D52262">
        <w:rPr>
          <w:rFonts w:ascii="Times New Roman" w:eastAsia="Calibri" w:hAnsi="Times New Roman" w:cs="Times New Roman"/>
          <w:sz w:val="28"/>
          <w:szCs w:val="28"/>
        </w:rPr>
        <w:lastRenderedPageBreak/>
        <w:t xml:space="preserve">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 xml:space="preserve">(в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w:t>
      </w:r>
      <w:r w:rsidRPr="00D52262">
        <w:rPr>
          <w:rFonts w:ascii="Times New Roman" w:eastAsia="Calibri" w:hAnsi="Times New Roman" w:cs="Times New Roman"/>
          <w:bCs/>
          <w:sz w:val="28"/>
          <w:szCs w:val="28"/>
        </w:rPr>
        <w:lastRenderedPageBreak/>
        <w:t>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w:t>
      </w:r>
      <w:r w:rsidRPr="00D52262">
        <w:rPr>
          <w:rFonts w:ascii="Times New Roman" w:eastAsia="Calibri" w:hAnsi="Times New Roman" w:cs="Times New Roman"/>
          <w:bCs/>
          <w:sz w:val="28"/>
          <w:szCs w:val="28"/>
        </w:rPr>
        <w:lastRenderedPageBreak/>
        <w:t>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рассматриваемого случая является дело № А40-144041/10, в котором имела место ситуация двойственности последствий: как для рынка, </w:t>
      </w:r>
      <w:r w:rsidRPr="00D52262">
        <w:rPr>
          <w:rFonts w:ascii="Times New Roman" w:eastAsia="Calibri" w:hAnsi="Times New Roman" w:cs="Times New Roman"/>
          <w:bCs/>
          <w:sz w:val="28"/>
          <w:szCs w:val="28"/>
        </w:rPr>
        <w:lastRenderedPageBreak/>
        <w:t>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w:t>
      </w:r>
      <w:r w:rsidRPr="00D52262">
        <w:rPr>
          <w:rFonts w:ascii="Times New Roman" w:eastAsia="Calibri" w:hAnsi="Times New Roman" w:cs="Times New Roman"/>
          <w:bCs/>
          <w:sz w:val="28"/>
          <w:szCs w:val="28"/>
        </w:rPr>
        <w:lastRenderedPageBreak/>
        <w:t>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lastRenderedPageBreak/>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w:t>
      </w:r>
      <w:r w:rsidRPr="00D52262">
        <w:rPr>
          <w:rFonts w:ascii="Times New Roman" w:eastAsia="Times New Roman" w:hAnsi="Times New Roman" w:cs="Times New Roman"/>
          <w:sz w:val="28"/>
          <w:szCs w:val="28"/>
          <w:lang w:eastAsia="ru-RU"/>
        </w:rPr>
        <w:lastRenderedPageBreak/>
        <w:t xml:space="preserve">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lastRenderedPageBreak/>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w:t>
      </w:r>
      <w:r w:rsidRPr="00D52262">
        <w:rPr>
          <w:rFonts w:ascii="Times New Roman" w:eastAsia="Calibri" w:hAnsi="Times New Roman" w:cs="Times New Roman"/>
          <w:sz w:val="28"/>
          <w:szCs w:val="28"/>
        </w:rPr>
        <w:lastRenderedPageBreak/>
        <w:t xml:space="preserve">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lastRenderedPageBreak/>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w:t>
      </w:r>
      <w:r w:rsidRPr="00280695">
        <w:rPr>
          <w:rFonts w:ascii="Times New Roman" w:eastAsia="SimSun" w:hAnsi="Times New Roman" w:cs="Times New Roman"/>
          <w:color w:val="000000"/>
          <w:sz w:val="28"/>
          <w:szCs w:val="28"/>
        </w:rPr>
        <w:lastRenderedPageBreak/>
        <w:t xml:space="preserve">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w:t>
      </w:r>
      <w:r w:rsidRPr="00167E78">
        <w:rPr>
          <w:rFonts w:ascii="Times New Roman" w:hAnsi="Times New Roman" w:cs="Times New Roman"/>
          <w:sz w:val="28"/>
          <w:szCs w:val="28"/>
        </w:rPr>
        <w:lastRenderedPageBreak/>
        <w:t>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w:t>
      </w:r>
      <w:r w:rsidRPr="00167E78">
        <w:rPr>
          <w:sz w:val="28"/>
          <w:szCs w:val="28"/>
        </w:rPr>
        <w:lastRenderedPageBreak/>
        <w:t xml:space="preserve">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w:t>
      </w:r>
      <w:r w:rsidRPr="007721EE">
        <w:rPr>
          <w:rFonts w:ascii="Times New Roman" w:eastAsia="Times New Roman" w:hAnsi="Times New Roman" w:cs="Times New Roman"/>
          <w:sz w:val="28"/>
          <w:szCs w:val="28"/>
          <w:lang w:eastAsia="ru-RU"/>
        </w:rPr>
        <w:lastRenderedPageBreak/>
        <w:t>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 xml:space="preserve">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w:t>
      </w:r>
      <w:r w:rsidRPr="007721EE">
        <w:rPr>
          <w:rFonts w:ascii="Times New Roman" w:eastAsia="Calibri" w:hAnsi="Times New Roman" w:cs="Times New Roman"/>
          <w:sz w:val="28"/>
          <w:szCs w:val="28"/>
        </w:rPr>
        <w:lastRenderedPageBreak/>
        <w:t>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 xml:space="preserve">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w:t>
      </w:r>
      <w:r w:rsidRPr="007721EE">
        <w:rPr>
          <w:rFonts w:ascii="Times New Roman" w:eastAsia="Times New Roman" w:hAnsi="Times New Roman" w:cs="Times New Roman"/>
          <w:color w:val="000000"/>
          <w:sz w:val="28"/>
          <w:szCs w:val="28"/>
          <w:lang w:eastAsia="ru-RU"/>
        </w:rPr>
        <w:lastRenderedPageBreak/>
        <w:t>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xml:space="preserve">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w:t>
      </w:r>
      <w:r w:rsidRPr="007721EE">
        <w:rPr>
          <w:rFonts w:ascii="Times New Roman" w:eastAsia="Times New Roman" w:hAnsi="Times New Roman" w:cs="Times New Roman"/>
          <w:sz w:val="28"/>
          <w:szCs w:val="28"/>
          <w:lang w:eastAsia="ru-RU"/>
        </w:rPr>
        <w:lastRenderedPageBreak/>
        <w:t>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lastRenderedPageBreak/>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w:t>
      </w:r>
      <w:r w:rsidRPr="007721EE">
        <w:rPr>
          <w:rFonts w:ascii="Times New Roman" w:eastAsia="Times New Roman" w:hAnsi="Times New Roman" w:cs="Times New Roman"/>
          <w:sz w:val="28"/>
          <w:szCs w:val="28"/>
          <w:lang w:eastAsia="ru-RU"/>
        </w:rPr>
        <w:lastRenderedPageBreak/>
        <w:t>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w:t>
      </w:r>
      <w:r w:rsidRPr="007721EE">
        <w:rPr>
          <w:rFonts w:ascii="Times New Roman" w:eastAsia="Calibri" w:hAnsi="Times New Roman" w:cs="Times New Roman"/>
          <w:sz w:val="28"/>
          <w:szCs w:val="28"/>
        </w:rPr>
        <w:lastRenderedPageBreak/>
        <w:t>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w:t>
      </w:r>
      <w:r w:rsidRPr="00B243F6">
        <w:rPr>
          <w:rFonts w:ascii="Times New Roman" w:eastAsia="MS Mincho" w:hAnsi="Times New Roman" w:cs="Times New Roman"/>
          <w:color w:val="000000"/>
          <w:sz w:val="28"/>
          <w:szCs w:val="28"/>
          <w:lang w:eastAsia="ru-RU"/>
        </w:rPr>
        <w:lastRenderedPageBreak/>
        <w:t>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lastRenderedPageBreak/>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 xml:space="preserve">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r w:rsidRPr="00B243F6">
        <w:rPr>
          <w:rFonts w:ascii="Times New Roman" w:eastAsia="MS Mincho" w:hAnsi="Times New Roman" w:cs="Times New Roman"/>
          <w:sz w:val="28"/>
          <w:szCs w:val="28"/>
          <w:lang w:eastAsia="ru-RU"/>
        </w:rPr>
        <w:lastRenderedPageBreak/>
        <w:t>«Газпромнефть-Центр»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w:t>
      </w:r>
      <w:r w:rsidRPr="00B243F6">
        <w:rPr>
          <w:rFonts w:ascii="Times New Roman" w:eastAsia="MS Mincho" w:hAnsi="Times New Roman" w:cs="Times New Roman"/>
          <w:color w:val="000000"/>
          <w:sz w:val="28"/>
          <w:szCs w:val="28"/>
          <w:lang w:eastAsia="ru-RU"/>
        </w:rPr>
        <w:lastRenderedPageBreak/>
        <w:t xml:space="preserve">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4"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4"/>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Федеральный закон «О защите конкуренции» не устанавливает, что датой вступления в силу решения коллегиального органа ФАС России </w:t>
      </w:r>
      <w:r w:rsidRPr="00B243F6">
        <w:rPr>
          <w:rFonts w:ascii="Times New Roman" w:eastAsia="Times New Roman" w:hAnsi="Times New Roman" w:cs="Times New Roman"/>
          <w:sz w:val="28"/>
          <w:szCs w:val="28"/>
        </w:rPr>
        <w:lastRenderedPageBreak/>
        <w:t>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5"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w:t>
      </w:r>
      <w:bookmarkStart w:id="26" w:name="_GoBack"/>
      <w:bookmarkEnd w:id="26"/>
      <w:r w:rsidRPr="00B243F6">
        <w:rPr>
          <w:rFonts w:ascii="Times New Roman" w:eastAsia="Times New Roman" w:hAnsi="Times New Roman" w:cs="Times New Roman"/>
          <w:sz w:val="28"/>
          <w:szCs w:val="28"/>
        </w:rPr>
        <w:t xml:space="preserve">орого обжалуется. </w:t>
      </w:r>
      <w:bookmarkEnd w:id="25"/>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2B" w:rsidRDefault="00AC5F2B" w:rsidP="000B72A0">
      <w:pPr>
        <w:spacing w:after="0" w:line="240" w:lineRule="auto"/>
      </w:pPr>
      <w:r>
        <w:separator/>
      </w:r>
    </w:p>
  </w:endnote>
  <w:endnote w:type="continuationSeparator" w:id="0">
    <w:p w:rsidR="00AC5F2B" w:rsidRDefault="00AC5F2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08788B">
          <w:rPr>
            <w:noProof/>
          </w:rPr>
          <w:t>134</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2B" w:rsidRDefault="00AC5F2B" w:rsidP="000B72A0">
      <w:pPr>
        <w:spacing w:after="0" w:line="240" w:lineRule="auto"/>
      </w:pPr>
      <w:r>
        <w:separator/>
      </w:r>
    </w:p>
  </w:footnote>
  <w:footnote w:type="continuationSeparator" w:id="0">
    <w:p w:rsidR="00AC5F2B" w:rsidRDefault="00AC5F2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8788B"/>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AC5F2B"/>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3833-623B-488B-BAD8-5025A5D5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Чермакова Мария Александровна</cp:lastModifiedBy>
  <cp:revision>3</cp:revision>
  <cp:lastPrinted>2017-05-30T15:02:00Z</cp:lastPrinted>
  <dcterms:created xsi:type="dcterms:W3CDTF">2018-02-21T07:23:00Z</dcterms:created>
  <dcterms:modified xsi:type="dcterms:W3CDTF">2018-02-21T07:23:00Z</dcterms:modified>
</cp:coreProperties>
</file>